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2018 25 vom 13. Februar 2026</w:t>
      </w:r>
    </w:p>
    <w:p>
      <w:r>
        <w:t>GR Gerichte, 2026-02-13, DE</w:t>
      </w:r>
    </w:p>
    <w:p>
      <w:r>
        <w:rPr>
          <w:b/>
        </w:rPr>
        <w:t xml:space="preserve">Quelle: </w:t>
      </w:r>
      <w:r>
        <w:t>https://mcp.opencaselaw.ch/entscheid/gr_gerichte_PVG 2018 25</w:t>
      </w:r>
    </w:p>
    <w:p>
      <w:r>
        <w:t>FR: GR_GERICHTE PVG 2018 25 du 13 février 2026</w:t>
      </w:r>
    </w:p>
    <w:p>
      <w:r>
        <w:t>IT: GR_GERICHTE PVG 2018 25 del 13 febbraio 2026</w:t>
      </w:r>
    </w:p>
    <w:p>
      <w:pPr>
        <w:pStyle w:val="Heading2"/>
      </w:pPr>
      <w:r>
        <w:t>Erwägungen</w:t>
      </w:r>
    </w:p>
    <w:p>
      <w:r>
        <w:rPr>
          <w:b/>
        </w:rPr>
        <w:t>E. 27</w:t>
      </w:r>
    </w:p>
    <w:p>
      <w:r>
        <w:t>September 2017; mit Verzicht auf den Bau zweier EFH auf Nach- barparzellen direkt östlich davon) selbst bestens bekannt sind. Die Auflage (mit Kaufversprechen) muss daher in der Realität als zahn- lose Auflage bzw. nicht griffige Sicherungsmassnahme gewertet werden, um eine Umgehungsgefahr tatsächlich ausschliessen zu können. Dasselbe gilt bezüglich der verfügten Mietverpflichtung über fünf Jahre für Niedergelassene und/oder Familien auf der Su- che nach kostengünstigem Lebens-/Wohnraum im besagten Aus- senquartier der Gemeinde, da eine solche Zeitspanne als viel zu kurz taxiert werden muss, um effektiv erfolgswirksam die Gefahr einer Gesetzesumgehung auf Dauer und nachhaltig ausschliessen zu können. 2.7. Daraus ergibt sich für das Gericht, dass aufgrund der erteilten Baubewilligung vom 24. Februar 2016 der Baukommissi- on bzw. des darauf basierenden Bestätigungsentscheids der Be- schwerdegegnerin betreffend Projektänderung vom 11./28. De- zember 2017 mit Erstwohnungsauflage für die Baugruppe A eine überproportionale Anzahl von Erstwohneinheiten erstellt würde, die den üblichen Bedarf an Erstwohnungen in der besagten Ge- meinde bzw. Region offensichtlich massiv übersteigen würde, so dass mit hoher Wahrscheinlichkeit in absehbarer Zeit mit vorher- sehbaren Gesuchen um Sistierung der Erstwohnungsauflage – mit dem Ziel der Nutzung der zusätzlichen EFH A1–A4 als unzulässi- ge Zweitwohnungen und neue Ferienhäuser – zu rechnen wäre. Der Tatbestand einer realistischen Gesetzesumgehung und dem- zufolge eines keinesfalls schützenswerten Rechtsmissbrauchs ist für das streitberufene Gericht damit hinreichend erstellt. Eine Überprüfung der übrigen Vorbringen und Einwände – wie unge- nügende Erschliessung, mangelhafte Wasserversorgung, Beden- ken hinsichtlich Ästhetik sowie Baugestaltung, Fragen zur Schutz- raumpflicht, Ausnutzungsproblematik usw. – erübrigt sich damit, da die erteilten Baubewilligungs- und Entscheide für die Baugrup- pe A bereits an den klaren Vorgaben im ZWG/ZWV und der Praxis des Bundesgerichts scheitern. 3.1. Zusammengefasst ergibt sich, dass der Entscheid vom 27./28. Dezember 2012 (Stammbewilligung) und der Entscheid vom 11./28. Dezember 2017 (Projektänderung) betreffend die Baugrup-</w:t>
      </w:r>
    </w:p>
    <w:p>
      <w:r>
        <w:t>6/25 Raumordnung und Umweltschutz PVG 2018 196 pe A mit ergänzender Erstwohnungsauflage rechtlich nicht haltbar sind, sondern in einer Gesamtschau als offenkundig rechtsmiss- bräuchlich taxiert werden müssen. Dies führt im Ergebnis zur Gu- theissung der Beschwerde vom 26. Januar 2018 und folglich zur Aufhebung der angefochtenen Bewilligungen und Entscheide be- treffend die Baugruppe A (Häuser A1–A4). Die bereits rechtskräftig bewilligten Baugruppen B und C waren vorliegend nicht Beschwer- dethema. R 13 108 Urteil vom 28. August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